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584" w:rsidRPr="00427584" w:rsidRDefault="00427584" w:rsidP="00F8555D">
      <w:pPr>
        <w:spacing w:line="276" w:lineRule="auto"/>
        <w:ind w:firstLine="0"/>
        <w:rPr>
          <w:b/>
          <w:caps/>
          <w:sz w:val="28"/>
          <w:szCs w:val="28"/>
        </w:rPr>
      </w:pPr>
      <w:r w:rsidRPr="00427584">
        <w:rPr>
          <w:b/>
          <w:sz w:val="28"/>
          <w:szCs w:val="28"/>
        </w:rPr>
        <w:t>Неформализованные</w:t>
      </w:r>
      <w:r w:rsidRPr="00427584">
        <w:rPr>
          <w:b/>
          <w:caps/>
          <w:sz w:val="28"/>
          <w:szCs w:val="28"/>
        </w:rPr>
        <w:t xml:space="preserve"> </w:t>
      </w:r>
      <w:r w:rsidRPr="00427584">
        <w:rPr>
          <w:b/>
          <w:sz w:val="28"/>
          <w:szCs w:val="28"/>
        </w:rPr>
        <w:t>межгосударственные институты глобального управления: репрезентативность и потенциал воздействия</w:t>
      </w:r>
      <w:r w:rsidRPr="00427584">
        <w:rPr>
          <w:b/>
          <w:caps/>
          <w:sz w:val="28"/>
          <w:szCs w:val="28"/>
        </w:rPr>
        <w:t xml:space="preserve"> </w:t>
      </w:r>
    </w:p>
    <w:p w:rsidR="00083965" w:rsidRDefault="00083965" w:rsidP="00427584">
      <w:pPr>
        <w:ind w:firstLine="0"/>
        <w:rPr>
          <w:sz w:val="28"/>
          <w:szCs w:val="28"/>
        </w:rPr>
      </w:pPr>
    </w:p>
    <w:p w:rsidR="003406BE" w:rsidRDefault="00427584" w:rsidP="00F8555D">
      <w:pPr>
        <w:ind w:firstLine="0"/>
        <w:rPr>
          <w:rFonts w:cs="DokChampa"/>
          <w:sz w:val="28"/>
          <w:szCs w:val="28"/>
          <w:lang w:bidi="lo-LA"/>
        </w:rPr>
      </w:pPr>
      <w:r>
        <w:rPr>
          <w:rFonts w:cs="DokChampa"/>
          <w:sz w:val="28"/>
          <w:szCs w:val="28"/>
          <w:lang w:bidi="lo-LA"/>
        </w:rPr>
        <w:t>В статье присутствует элемент сравнительного анализа (на основе ряда количественных показателей сравниваются Группа семи, Большая двадцатка и БРИКС и их потенциал воздействия на современные регионы мира с точки зрения глобального управления</w:t>
      </w:r>
      <w:r w:rsidR="00E87081">
        <w:rPr>
          <w:rFonts w:cs="DokChampa"/>
          <w:sz w:val="28"/>
          <w:szCs w:val="28"/>
          <w:lang w:bidi="lo-LA"/>
        </w:rPr>
        <w:t>), однако желательно сделать более выпуклой сравнительную честь путем редакторской работы</w:t>
      </w:r>
      <w:r>
        <w:rPr>
          <w:rFonts w:cs="DokChampa"/>
          <w:sz w:val="28"/>
          <w:szCs w:val="28"/>
          <w:lang w:bidi="lo-LA"/>
        </w:rPr>
        <w:t>.</w:t>
      </w:r>
      <w:r w:rsidR="003154CF" w:rsidRPr="003154CF">
        <w:rPr>
          <w:rFonts w:cs="DokChampa"/>
          <w:sz w:val="28"/>
          <w:szCs w:val="28"/>
          <w:lang w:bidi="lo-LA"/>
        </w:rPr>
        <w:t xml:space="preserve"> </w:t>
      </w:r>
      <w:r w:rsidR="003406BE">
        <w:rPr>
          <w:rFonts w:cs="DokChampa"/>
          <w:sz w:val="28"/>
          <w:szCs w:val="28"/>
          <w:lang w:bidi="lo-LA"/>
        </w:rPr>
        <w:t>Аргументация автора/авторов основывается на анализе предшествующих российских и зарубежных публикаций.</w:t>
      </w:r>
    </w:p>
    <w:p w:rsidR="00427584" w:rsidRDefault="003154CF" w:rsidP="00F8555D">
      <w:pPr>
        <w:ind w:firstLine="0"/>
        <w:rPr>
          <w:rFonts w:cs="DokChampa"/>
          <w:sz w:val="28"/>
          <w:szCs w:val="28"/>
          <w:lang w:bidi="lo-LA"/>
        </w:rPr>
      </w:pPr>
      <w:r>
        <w:rPr>
          <w:rFonts w:cs="DokChampa"/>
          <w:sz w:val="28"/>
          <w:szCs w:val="28"/>
          <w:lang w:bidi="lo-LA"/>
        </w:rPr>
        <w:t xml:space="preserve">Статья в целом соответствует </w:t>
      </w:r>
      <w:r w:rsidR="003406BE">
        <w:rPr>
          <w:rFonts w:cs="DokChampa"/>
          <w:sz w:val="28"/>
          <w:szCs w:val="28"/>
          <w:lang w:bidi="lo-LA"/>
        </w:rPr>
        <w:t>профилю журнала.</w:t>
      </w:r>
      <w:r w:rsidR="00E87081">
        <w:rPr>
          <w:rFonts w:cs="DokChampa"/>
          <w:sz w:val="28"/>
          <w:szCs w:val="28"/>
          <w:lang w:bidi="lo-LA"/>
        </w:rPr>
        <w:t xml:space="preserve"> Рекомендуется к публикации после доработки.</w:t>
      </w:r>
    </w:p>
    <w:p w:rsidR="002877F8" w:rsidRPr="00756474" w:rsidRDefault="002877F8" w:rsidP="00A410E8">
      <w:pPr>
        <w:ind w:firstLine="0"/>
        <w:rPr>
          <w:rFonts w:cs="DokChampa"/>
          <w:sz w:val="28"/>
          <w:szCs w:val="28"/>
          <w:lang w:bidi="lo-LA"/>
        </w:rPr>
      </w:pPr>
      <w:r w:rsidRPr="00756474">
        <w:rPr>
          <w:rFonts w:cs="DokChampa"/>
          <w:sz w:val="28"/>
          <w:szCs w:val="28"/>
          <w:lang w:bidi="lo-LA"/>
        </w:rPr>
        <w:t>Однако:</w:t>
      </w:r>
    </w:p>
    <w:p w:rsidR="002877F8" w:rsidRPr="00756474" w:rsidRDefault="002877F8" w:rsidP="00A410E8">
      <w:pPr>
        <w:ind w:firstLine="0"/>
        <w:rPr>
          <w:rFonts w:cs="DokChampa"/>
          <w:sz w:val="28"/>
          <w:szCs w:val="28"/>
          <w:lang w:bidi="lo-LA"/>
        </w:rPr>
      </w:pPr>
      <w:r w:rsidRPr="00756474">
        <w:rPr>
          <w:rFonts w:cs="DokChampa"/>
          <w:sz w:val="28"/>
          <w:szCs w:val="28"/>
          <w:lang w:bidi="lo-LA"/>
        </w:rPr>
        <w:t xml:space="preserve">Не всегда ясно выражен смысл того, о чем пишут авторы (требуется </w:t>
      </w:r>
      <w:proofErr w:type="spellStart"/>
      <w:r w:rsidRPr="00756474">
        <w:rPr>
          <w:rFonts w:cs="DokChampa"/>
          <w:sz w:val="28"/>
          <w:szCs w:val="28"/>
          <w:lang w:bidi="lo-LA"/>
        </w:rPr>
        <w:t>перефраз</w:t>
      </w:r>
      <w:proofErr w:type="spellEnd"/>
      <w:r w:rsidRPr="00756474">
        <w:rPr>
          <w:rFonts w:cs="DokChampa"/>
          <w:sz w:val="28"/>
          <w:szCs w:val="28"/>
          <w:lang w:bidi="lo-LA"/>
        </w:rPr>
        <w:t xml:space="preserve"> для более адекватного понимания текста читателем), например: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2"/>
        <w:gridCol w:w="3813"/>
      </w:tblGrid>
      <w:tr w:rsidR="00756474" w:rsidRPr="00756474" w:rsidTr="00756474">
        <w:tc>
          <w:tcPr>
            <w:tcW w:w="5532" w:type="dxa"/>
          </w:tcPr>
          <w:p w:rsidR="00756474" w:rsidRPr="00756474" w:rsidRDefault="00756474" w:rsidP="003F6FE3">
            <w:pPr>
              <w:ind w:firstLine="0"/>
              <w:rPr>
                <w:rFonts w:cs="Times New Roman"/>
                <w:i/>
                <w:spacing w:val="-4"/>
                <w:sz w:val="28"/>
                <w:szCs w:val="28"/>
              </w:rPr>
            </w:pPr>
            <w:r w:rsidRPr="00756474">
              <w:rPr>
                <w:rFonts w:cs="DokChampa"/>
                <w:sz w:val="28"/>
                <w:szCs w:val="28"/>
                <w:lang w:bidi="lo-LA"/>
              </w:rPr>
              <w:t xml:space="preserve">С.2 - </w:t>
            </w:r>
            <w:r w:rsidR="002877F8">
              <w:rPr>
                <w:rFonts w:cs="DokChampa"/>
                <w:sz w:val="28"/>
                <w:szCs w:val="28"/>
                <w:lang w:bidi="lo-LA"/>
              </w:rPr>
              <w:t>В</w:t>
            </w:r>
            <w:r w:rsidRPr="00756474">
              <w:rPr>
                <w:rFonts w:cs="Times New Roman"/>
                <w:i/>
                <w:spacing w:val="-4"/>
                <w:sz w:val="28"/>
                <w:szCs w:val="28"/>
              </w:rPr>
              <w:t xml:space="preserve">-третьих, наблюдается практически полное совпадение макрорегионов, обладающих потенциалом эффективных реципиентов импульсов системы глобального управления, в «Группе семи» и «Группе двадцати», исключение составляет макрорегион Юго-Восточной Азии, </w:t>
            </w:r>
            <w:proofErr w:type="gramStart"/>
            <w:r w:rsidRPr="00756474">
              <w:rPr>
                <w:rFonts w:cs="Times New Roman"/>
                <w:i/>
                <w:spacing w:val="-4"/>
                <w:sz w:val="28"/>
                <w:szCs w:val="28"/>
              </w:rPr>
              <w:t>обладающий</w:t>
            </w:r>
            <w:proofErr w:type="gramEnd"/>
            <w:r w:rsidRPr="00756474">
              <w:rPr>
                <w:rFonts w:cs="Times New Roman"/>
                <w:i/>
                <w:spacing w:val="-4"/>
                <w:sz w:val="28"/>
                <w:szCs w:val="28"/>
              </w:rPr>
              <w:t xml:space="preserve"> высокой степенью экономической консолидации.</w:t>
            </w:r>
          </w:p>
        </w:tc>
        <w:tc>
          <w:tcPr>
            <w:tcW w:w="3813" w:type="dxa"/>
          </w:tcPr>
          <w:p w:rsidR="00756474" w:rsidRPr="00756474" w:rsidRDefault="001257B3" w:rsidP="002877F8">
            <w:pPr>
              <w:ind w:firstLine="0"/>
              <w:rPr>
                <w:rFonts w:cs="DokChampa"/>
                <w:sz w:val="28"/>
                <w:szCs w:val="28"/>
                <w:lang w:bidi="lo-LA"/>
              </w:rPr>
            </w:pPr>
            <w:r w:rsidRPr="003104F9">
              <w:rPr>
                <w:rFonts w:cs="Times New Roman"/>
                <w:i/>
                <w:spacing w:val="-4"/>
                <w:szCs w:val="24"/>
              </w:rPr>
              <w:t xml:space="preserve">В-третьих, </w:t>
            </w:r>
            <w:r>
              <w:rPr>
                <w:rFonts w:cs="Times New Roman"/>
                <w:i/>
                <w:spacing w:val="-4"/>
                <w:szCs w:val="24"/>
              </w:rPr>
              <w:t xml:space="preserve">участники «Группы семи» консолидируют четыре из пяти макрорегионов, к которым принадлежат (единственным неконсолидированным макрорегионом является Южная Европа, к которой относится Италия), в то время как вокруг участников «Группы двадцати» консолидировано пять макрорегионов из тринадцати - дополнительным макрорегионом с </w:t>
            </w:r>
            <w:r w:rsidRPr="003104F9">
              <w:rPr>
                <w:rFonts w:cs="Times New Roman"/>
                <w:i/>
                <w:spacing w:val="-4"/>
                <w:szCs w:val="24"/>
              </w:rPr>
              <w:t xml:space="preserve">высокой степенью экономической </w:t>
            </w:r>
            <w:proofErr w:type="spellStart"/>
            <w:r w:rsidR="002877F8">
              <w:rPr>
                <w:rFonts w:cs="Times New Roman"/>
                <w:i/>
                <w:spacing w:val="-4"/>
                <w:szCs w:val="24"/>
              </w:rPr>
              <w:t>консолидированности</w:t>
            </w:r>
            <w:proofErr w:type="spellEnd"/>
            <w:r>
              <w:rPr>
                <w:rFonts w:cs="Times New Roman"/>
                <w:i/>
                <w:spacing w:val="-4"/>
                <w:szCs w:val="24"/>
              </w:rPr>
              <w:t xml:space="preserve"> является </w:t>
            </w:r>
            <w:r w:rsidRPr="003104F9">
              <w:rPr>
                <w:rFonts w:cs="Times New Roman"/>
                <w:i/>
                <w:spacing w:val="-4"/>
                <w:szCs w:val="24"/>
              </w:rPr>
              <w:t>Юго-Восточн</w:t>
            </w:r>
            <w:r>
              <w:rPr>
                <w:rFonts w:cs="Times New Roman"/>
                <w:i/>
                <w:spacing w:val="-4"/>
                <w:szCs w:val="24"/>
              </w:rPr>
              <w:t>ая</w:t>
            </w:r>
            <w:r w:rsidRPr="003104F9">
              <w:rPr>
                <w:rFonts w:cs="Times New Roman"/>
                <w:i/>
                <w:spacing w:val="-4"/>
                <w:szCs w:val="24"/>
              </w:rPr>
              <w:t xml:space="preserve"> Ази</w:t>
            </w:r>
            <w:r>
              <w:rPr>
                <w:rFonts w:cs="Times New Roman"/>
                <w:i/>
                <w:spacing w:val="-4"/>
                <w:szCs w:val="24"/>
              </w:rPr>
              <w:t>я</w:t>
            </w:r>
            <w:r w:rsidRPr="003104F9">
              <w:rPr>
                <w:rFonts w:cs="Times New Roman"/>
                <w:i/>
                <w:spacing w:val="-4"/>
                <w:szCs w:val="24"/>
              </w:rPr>
              <w:t>.</w:t>
            </w:r>
            <w:r>
              <w:rPr>
                <w:rFonts w:cs="Times New Roman"/>
                <w:i/>
                <w:spacing w:val="-4"/>
                <w:szCs w:val="24"/>
              </w:rPr>
              <w:t xml:space="preserve"> Таким образом, троекратное увеличение количества участников при формировании «Группы двадцати»</w:t>
            </w:r>
            <w:r w:rsidRPr="003104F9">
              <w:rPr>
                <w:rFonts w:cs="Times New Roman"/>
                <w:i/>
                <w:spacing w:val="-4"/>
                <w:szCs w:val="24"/>
              </w:rPr>
              <w:t xml:space="preserve"> </w:t>
            </w:r>
            <w:r>
              <w:rPr>
                <w:rFonts w:cs="Times New Roman"/>
                <w:i/>
                <w:spacing w:val="-4"/>
                <w:szCs w:val="24"/>
              </w:rPr>
              <w:t xml:space="preserve">практически </w:t>
            </w:r>
            <w:r w:rsidR="002877F8">
              <w:rPr>
                <w:rFonts w:cs="Times New Roman"/>
                <w:i/>
                <w:spacing w:val="-4"/>
                <w:szCs w:val="24"/>
              </w:rPr>
              <w:t>не приводит к росту географии воздействия неформализованных институтов на остальные страны</w:t>
            </w:r>
            <w:r>
              <w:rPr>
                <w:rFonts w:cs="Times New Roman"/>
                <w:i/>
                <w:spacing w:val="-4"/>
                <w:szCs w:val="24"/>
              </w:rPr>
              <w:t>.</w:t>
            </w:r>
          </w:p>
        </w:tc>
      </w:tr>
      <w:tr w:rsidR="001257B3" w:rsidRPr="00756474" w:rsidTr="00756474">
        <w:tc>
          <w:tcPr>
            <w:tcW w:w="5532" w:type="dxa"/>
          </w:tcPr>
          <w:p w:rsidR="001257B3" w:rsidRDefault="001257B3" w:rsidP="001257B3">
            <w:pPr>
              <w:ind w:firstLine="0"/>
              <w:rPr>
                <w:rFonts w:eastAsia="Times New Roman" w:cs="Times New Roman"/>
                <w:sz w:val="28"/>
                <w:szCs w:val="28"/>
              </w:rPr>
            </w:pPr>
            <w:r w:rsidRPr="00756474">
              <w:rPr>
                <w:rFonts w:cs="DokChampa"/>
                <w:sz w:val="28"/>
                <w:szCs w:val="28"/>
                <w:lang w:bidi="lo-LA"/>
              </w:rPr>
              <w:t xml:space="preserve">С.2 - </w:t>
            </w:r>
            <w:r w:rsidRPr="00756474">
              <w:rPr>
                <w:rFonts w:eastAsia="Times New Roman" w:cs="Times New Roman"/>
                <w:sz w:val="28"/>
                <w:szCs w:val="28"/>
              </w:rPr>
              <w:t xml:space="preserve">Очевидно, что существующая система международных организаций: универсальных как ООН и относительно специализированных как ГАТТ (неудачная попытка основания Международной торговой организации, трансформировавшаяся в 1990-гг. в ВТО) и МВФ – принципы функционирования которых заложены еще в 40-50-е гг. – </w:t>
            </w:r>
            <w:r w:rsidRPr="00756474">
              <w:rPr>
                <w:rFonts w:eastAsia="Times New Roman" w:cs="Times New Roman"/>
                <w:sz w:val="28"/>
                <w:szCs w:val="28"/>
                <w:highlight w:val="yellow"/>
              </w:rPr>
              <w:t xml:space="preserve">не отвечает режиму турбулентности, заложенному в динамику современных </w:t>
            </w:r>
            <w:r w:rsidRPr="00756474">
              <w:rPr>
                <w:rFonts w:eastAsia="Times New Roman" w:cs="Times New Roman"/>
                <w:sz w:val="28"/>
                <w:szCs w:val="28"/>
                <w:highlight w:val="yellow"/>
              </w:rPr>
              <w:lastRenderedPageBreak/>
              <w:t>политических, социальных и экономических отношений между странами</w:t>
            </w:r>
            <w:r w:rsidRPr="00756474">
              <w:rPr>
                <w:rFonts w:eastAsia="Times New Roman" w:cs="Times New Roman"/>
                <w:sz w:val="28"/>
                <w:szCs w:val="28"/>
              </w:rPr>
              <w:t>. – заложенному кем? Каким образом?</w:t>
            </w:r>
          </w:p>
          <w:p w:rsidR="001257B3" w:rsidRDefault="001257B3" w:rsidP="001257B3">
            <w:pPr>
              <w:ind w:firstLine="0"/>
              <w:rPr>
                <w:rFonts w:eastAsia="Times New Roman" w:cs="Times New Roman"/>
                <w:sz w:val="28"/>
                <w:szCs w:val="28"/>
              </w:rPr>
            </w:pPr>
          </w:p>
          <w:p w:rsidR="001257B3" w:rsidRPr="00756474" w:rsidRDefault="002877F8" w:rsidP="001257B3">
            <w:pPr>
              <w:ind w:firstLine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Уточнено</w:t>
            </w:r>
            <w:r w:rsidR="001257B3">
              <w:rPr>
                <w:rFonts w:eastAsia="Times New Roman" w:cs="Times New Roman"/>
                <w:sz w:val="28"/>
                <w:szCs w:val="28"/>
              </w:rPr>
              <w:t>. Исправлено.</w:t>
            </w:r>
          </w:p>
        </w:tc>
        <w:tc>
          <w:tcPr>
            <w:tcW w:w="3813" w:type="dxa"/>
          </w:tcPr>
          <w:p w:rsidR="001257B3" w:rsidRPr="00756474" w:rsidRDefault="001257B3" w:rsidP="001257B3">
            <w:pPr>
              <w:ind w:firstLine="0"/>
              <w:rPr>
                <w:rFonts w:eastAsia="Times New Roman" w:cs="Times New Roman"/>
                <w:sz w:val="28"/>
                <w:szCs w:val="28"/>
              </w:rPr>
            </w:pPr>
            <w:r w:rsidRPr="00756474">
              <w:rPr>
                <w:rFonts w:cs="DokChampa"/>
                <w:sz w:val="28"/>
                <w:szCs w:val="28"/>
                <w:lang w:bidi="lo-LA"/>
              </w:rPr>
              <w:lastRenderedPageBreak/>
              <w:t xml:space="preserve">С.2 - </w:t>
            </w:r>
            <w:r w:rsidRPr="00756474">
              <w:rPr>
                <w:rFonts w:eastAsia="Times New Roman" w:cs="Times New Roman"/>
                <w:sz w:val="28"/>
                <w:szCs w:val="28"/>
              </w:rPr>
              <w:t xml:space="preserve">Очевидно, что существующая система международных организаций: универсальных как ООН и относительно специализированных как ГАТТ (неудачная попытка основания Международной торговой организации, трансформировавшаяся в 1990-гг. </w:t>
            </w:r>
            <w:r w:rsidRPr="001257B3">
              <w:rPr>
                <w:rFonts w:eastAsia="Times New Roman" w:cs="Times New Roman"/>
                <w:sz w:val="28"/>
                <w:szCs w:val="28"/>
              </w:rPr>
              <w:t xml:space="preserve">в ВТО) и МВФ – </w:t>
            </w:r>
            <w:r w:rsidRPr="001257B3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принципы функционирования которых заложены еще в 40-50-е гг. – не отвечает </w:t>
            </w:r>
            <w:r w:rsidR="00EB656C" w:rsidRPr="00EB656C">
              <w:rPr>
                <w:rFonts w:eastAsia="Times New Roman" w:cs="Times New Roman"/>
                <w:i/>
                <w:sz w:val="28"/>
                <w:szCs w:val="28"/>
              </w:rPr>
              <w:t xml:space="preserve">турбулентной </w:t>
            </w:r>
            <w:r w:rsidRPr="00EB656C">
              <w:rPr>
                <w:rFonts w:eastAsia="Times New Roman" w:cs="Times New Roman"/>
                <w:i/>
                <w:sz w:val="28"/>
                <w:szCs w:val="28"/>
              </w:rPr>
              <w:t>динами</w:t>
            </w:r>
            <w:r w:rsidR="00EB656C" w:rsidRPr="00EB656C">
              <w:rPr>
                <w:rFonts w:eastAsia="Times New Roman" w:cs="Times New Roman"/>
                <w:i/>
                <w:sz w:val="28"/>
                <w:szCs w:val="28"/>
              </w:rPr>
              <w:t>ке</w:t>
            </w:r>
            <w:r w:rsidRPr="001257B3">
              <w:rPr>
                <w:rFonts w:eastAsia="Times New Roman" w:cs="Times New Roman"/>
                <w:sz w:val="28"/>
                <w:szCs w:val="28"/>
              </w:rPr>
              <w:t xml:space="preserve"> современных политических, социальных и экономических отношений между странами</w:t>
            </w:r>
            <w:r w:rsidRPr="00756474">
              <w:rPr>
                <w:rFonts w:eastAsia="Times New Roman" w:cs="Times New Roman"/>
                <w:sz w:val="28"/>
                <w:szCs w:val="28"/>
              </w:rPr>
              <w:t xml:space="preserve">. </w:t>
            </w:r>
          </w:p>
        </w:tc>
      </w:tr>
      <w:tr w:rsidR="001257B3" w:rsidRPr="00756474" w:rsidTr="00756474">
        <w:tc>
          <w:tcPr>
            <w:tcW w:w="5532" w:type="dxa"/>
          </w:tcPr>
          <w:p w:rsidR="001257B3" w:rsidRDefault="001257B3" w:rsidP="001257B3">
            <w:pPr>
              <w:ind w:firstLine="0"/>
              <w:rPr>
                <w:sz w:val="28"/>
                <w:szCs w:val="28"/>
              </w:rPr>
            </w:pPr>
            <w:r w:rsidRPr="00756474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С.8 – </w:t>
            </w:r>
            <w:r w:rsidRPr="00756474">
              <w:rPr>
                <w:sz w:val="28"/>
                <w:szCs w:val="28"/>
              </w:rPr>
              <w:t xml:space="preserve">В отношении «Группы двадцати» наиболее часто изучается </w:t>
            </w:r>
            <w:r w:rsidRPr="00756474">
              <w:rPr>
                <w:sz w:val="28"/>
                <w:szCs w:val="28"/>
                <w:highlight w:val="yellow"/>
              </w:rPr>
              <w:t>ее потенциал на предмет возможному противодействию кризисным явлениям в мировом хозяйстве</w:t>
            </w:r>
            <w:r w:rsidRPr="00756474">
              <w:rPr>
                <w:sz w:val="28"/>
                <w:szCs w:val="28"/>
              </w:rPr>
              <w:t>.</w:t>
            </w:r>
          </w:p>
          <w:p w:rsidR="002877F8" w:rsidRDefault="002877F8" w:rsidP="001257B3">
            <w:pPr>
              <w:ind w:firstLine="0"/>
              <w:rPr>
                <w:sz w:val="28"/>
                <w:szCs w:val="28"/>
              </w:rPr>
            </w:pPr>
          </w:p>
          <w:p w:rsidR="002877F8" w:rsidRPr="00756474" w:rsidRDefault="002877F8" w:rsidP="001257B3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Перефразировано (обобщена тематика статей)</w:t>
            </w:r>
          </w:p>
        </w:tc>
        <w:tc>
          <w:tcPr>
            <w:tcW w:w="3813" w:type="dxa"/>
          </w:tcPr>
          <w:p w:rsidR="001257B3" w:rsidRPr="002877F8" w:rsidRDefault="001257B3" w:rsidP="001257B3">
            <w:pPr>
              <w:ind w:firstLine="0"/>
              <w:rPr>
                <w:sz w:val="28"/>
                <w:szCs w:val="28"/>
              </w:rPr>
            </w:pPr>
            <w:r w:rsidRPr="002877F8">
              <w:rPr>
                <w:rFonts w:eastAsia="Times New Roman" w:cs="Times New Roman"/>
                <w:sz w:val="28"/>
                <w:szCs w:val="28"/>
              </w:rPr>
              <w:t xml:space="preserve">С.8 – </w:t>
            </w:r>
            <w:r w:rsidR="002877F8" w:rsidRPr="002877F8">
              <w:rPr>
                <w:sz w:val="28"/>
                <w:szCs w:val="28"/>
              </w:rPr>
              <w:t>В отношении «Группы двадцати» наиболее часто изучаются ее возможности в сфере противодействия кризисным явлениям в мировом хозяйстве.</w:t>
            </w:r>
          </w:p>
        </w:tc>
      </w:tr>
      <w:tr w:rsidR="002877F8" w:rsidRPr="00756474" w:rsidTr="00756474">
        <w:tc>
          <w:tcPr>
            <w:tcW w:w="5532" w:type="dxa"/>
          </w:tcPr>
          <w:p w:rsidR="002877F8" w:rsidRDefault="002877F8" w:rsidP="001257B3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756474">
              <w:rPr>
                <w:rFonts w:cs="DokChampa"/>
                <w:sz w:val="28"/>
                <w:szCs w:val="28"/>
                <w:lang w:bidi="lo-LA"/>
              </w:rPr>
              <w:t xml:space="preserve">С.14, заголовок таблицы 6 - </w:t>
            </w:r>
            <w:r w:rsidRPr="00756474">
              <w:rPr>
                <w:rFonts w:cs="Times New Roman"/>
                <w:sz w:val="28"/>
                <w:szCs w:val="28"/>
                <w:highlight w:val="yellow"/>
              </w:rPr>
              <w:t>Уровень консолидации макрорегионы принадлежности участников «Группы семи», «Группы двадцати» и БРИКС, %</w:t>
            </w:r>
            <w:r w:rsidRPr="00756474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2877F8" w:rsidRPr="00756474" w:rsidRDefault="002877F8" w:rsidP="001257B3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Исправлено</w:t>
            </w:r>
          </w:p>
        </w:tc>
        <w:tc>
          <w:tcPr>
            <w:tcW w:w="3813" w:type="dxa"/>
          </w:tcPr>
          <w:p w:rsidR="002877F8" w:rsidRPr="00756474" w:rsidRDefault="002877F8" w:rsidP="001A317F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1A317F">
              <w:rPr>
                <w:rFonts w:eastAsia="Times New Roman" w:cs="Times New Roman"/>
                <w:sz w:val="28"/>
                <w:szCs w:val="28"/>
              </w:rPr>
              <w:t xml:space="preserve">Уровень </w:t>
            </w:r>
            <w:proofErr w:type="spellStart"/>
            <w:r w:rsidR="001A317F" w:rsidRPr="001A317F">
              <w:rPr>
                <w:rFonts w:eastAsia="Times New Roman" w:cs="Times New Roman"/>
                <w:sz w:val="28"/>
                <w:szCs w:val="28"/>
              </w:rPr>
              <w:t>консолидированности</w:t>
            </w:r>
            <w:proofErr w:type="spellEnd"/>
            <w:r w:rsidRPr="001A317F">
              <w:rPr>
                <w:rFonts w:eastAsia="Times New Roman" w:cs="Times New Roman"/>
                <w:sz w:val="28"/>
                <w:szCs w:val="28"/>
              </w:rPr>
              <w:t xml:space="preserve"> макрорегион</w:t>
            </w:r>
            <w:r w:rsidR="001A317F" w:rsidRPr="001A317F">
              <w:rPr>
                <w:rFonts w:eastAsia="Times New Roman" w:cs="Times New Roman"/>
                <w:sz w:val="28"/>
                <w:szCs w:val="28"/>
              </w:rPr>
              <w:t>ов</w:t>
            </w:r>
            <w:r w:rsidRPr="001A317F">
              <w:rPr>
                <w:rFonts w:eastAsia="Times New Roman" w:cs="Times New Roman"/>
                <w:sz w:val="28"/>
                <w:szCs w:val="28"/>
              </w:rPr>
              <w:t xml:space="preserve"> принадлежности участников «Группы семи», «Группы двадцати» и БРИКС, %</w:t>
            </w:r>
            <w:r w:rsidRPr="00756474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2877F8" w:rsidRPr="00756474" w:rsidTr="00756474">
        <w:tc>
          <w:tcPr>
            <w:tcW w:w="5532" w:type="dxa"/>
          </w:tcPr>
          <w:p w:rsidR="002877F8" w:rsidRDefault="002877F8" w:rsidP="001257B3">
            <w:pPr>
              <w:ind w:firstLine="0"/>
              <w:rPr>
                <w:rFonts w:cs="Times New Roman"/>
                <w:spacing w:val="-4"/>
                <w:sz w:val="28"/>
                <w:szCs w:val="28"/>
              </w:rPr>
            </w:pPr>
            <w:bookmarkStart w:id="0" w:name="_GoBack" w:colFirst="1" w:colLast="1"/>
            <w:r w:rsidRPr="00756474">
              <w:rPr>
                <w:rFonts w:cs="DokChampa"/>
                <w:sz w:val="28"/>
                <w:szCs w:val="28"/>
                <w:lang w:bidi="lo-LA"/>
              </w:rPr>
              <w:t xml:space="preserve">С.18 – </w:t>
            </w:r>
            <w:r w:rsidRPr="00756474">
              <w:rPr>
                <w:rFonts w:cs="Times New Roman"/>
                <w:spacing w:val="-4"/>
                <w:sz w:val="28"/>
                <w:szCs w:val="28"/>
              </w:rPr>
              <w:t xml:space="preserve">Однако, при оценке </w:t>
            </w:r>
            <w:proofErr w:type="spellStart"/>
            <w:r w:rsidRPr="00756474">
              <w:rPr>
                <w:rFonts w:cs="Times New Roman"/>
                <w:spacing w:val="-4"/>
                <w:sz w:val="28"/>
                <w:szCs w:val="28"/>
              </w:rPr>
              <w:t>консолидированности</w:t>
            </w:r>
            <w:proofErr w:type="spellEnd"/>
            <w:r w:rsidRPr="00756474">
              <w:rPr>
                <w:rFonts w:cs="Times New Roman"/>
                <w:spacing w:val="-4"/>
                <w:sz w:val="28"/>
                <w:szCs w:val="28"/>
              </w:rPr>
              <w:t xml:space="preserve"> на уровне макрорегионов принадлежности ведущих стран мира, составляющих в той или иной комбинации основу рассматриваемых многосторонних неформализованных группировок, выявлено, что </w:t>
            </w:r>
            <w:r w:rsidRPr="00756474">
              <w:rPr>
                <w:rFonts w:cs="Times New Roman"/>
                <w:spacing w:val="-4"/>
                <w:sz w:val="28"/>
                <w:szCs w:val="28"/>
                <w:highlight w:val="yellow"/>
              </w:rPr>
              <w:t>набор их (что/кто имеется ввиду?)</w:t>
            </w:r>
            <w:r w:rsidRPr="00756474">
              <w:rPr>
                <w:rFonts w:cs="Times New Roman"/>
                <w:spacing w:val="-4"/>
                <w:sz w:val="28"/>
                <w:szCs w:val="28"/>
              </w:rPr>
              <w:t xml:space="preserve"> в «Группе семи» и «Группе двадцати» совпадает практически полностью за исключением Юго-Восточной Азии, основу которого составляют члены АСЕАН. Это свидетельствует, по мнению автора, о двух обстоятельствах.</w:t>
            </w:r>
          </w:p>
          <w:p w:rsidR="00052674" w:rsidRDefault="00052674" w:rsidP="001257B3">
            <w:pPr>
              <w:ind w:firstLine="0"/>
              <w:rPr>
                <w:rFonts w:cs="Times New Roman"/>
                <w:spacing w:val="-4"/>
                <w:sz w:val="28"/>
                <w:szCs w:val="28"/>
              </w:rPr>
            </w:pPr>
            <w:r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</w:p>
          <w:p w:rsidR="00052674" w:rsidRPr="00756474" w:rsidRDefault="00052674" w:rsidP="001257B3">
            <w:pPr>
              <w:ind w:firstLine="0"/>
              <w:rPr>
                <w:rFonts w:cs="DokChampa"/>
                <w:sz w:val="28"/>
                <w:szCs w:val="28"/>
                <w:lang w:bidi="lo-LA"/>
              </w:rPr>
            </w:pPr>
            <w:r>
              <w:rPr>
                <w:rFonts w:cs="Times New Roman"/>
                <w:spacing w:val="-4"/>
                <w:sz w:val="28"/>
                <w:szCs w:val="28"/>
              </w:rPr>
              <w:t>Упрощено</w:t>
            </w:r>
          </w:p>
        </w:tc>
        <w:tc>
          <w:tcPr>
            <w:tcW w:w="3813" w:type="dxa"/>
          </w:tcPr>
          <w:p w:rsidR="002877F8" w:rsidRPr="002D4331" w:rsidRDefault="00420230" w:rsidP="001257B3">
            <w:pPr>
              <w:ind w:firstLine="0"/>
              <w:rPr>
                <w:rFonts w:cs="DokChampa"/>
                <w:sz w:val="28"/>
                <w:szCs w:val="28"/>
                <w:lang w:bidi="lo-LA"/>
              </w:rPr>
            </w:pPr>
            <w:r w:rsidRPr="002D4331">
              <w:rPr>
                <w:rFonts w:cs="Times New Roman"/>
                <w:spacing w:val="-4"/>
                <w:sz w:val="28"/>
                <w:szCs w:val="28"/>
              </w:rPr>
              <w:t xml:space="preserve">Однако, при оценке </w:t>
            </w:r>
            <w:proofErr w:type="spellStart"/>
            <w:r w:rsidRPr="002D4331">
              <w:rPr>
                <w:rFonts w:eastAsia="Times New Roman" w:cs="Times New Roman"/>
                <w:sz w:val="28"/>
                <w:szCs w:val="28"/>
              </w:rPr>
              <w:t>консолидированности</w:t>
            </w:r>
            <w:proofErr w:type="spellEnd"/>
            <w:r w:rsidRPr="002D4331">
              <w:rPr>
                <w:rFonts w:eastAsia="Times New Roman" w:cs="Times New Roman"/>
                <w:sz w:val="28"/>
                <w:szCs w:val="28"/>
              </w:rPr>
              <w:t xml:space="preserve"> на уровне макрорегионов принадлежности ведущих стран мира, входящих в рассматриваемые многосторонние неформализованные группировки, выявлено, что большая часть высоко консолидированных </w:t>
            </w:r>
            <w:proofErr w:type="spellStart"/>
            <w:r w:rsidRPr="002D4331">
              <w:rPr>
                <w:rFonts w:eastAsia="Times New Roman" w:cs="Times New Roman"/>
                <w:sz w:val="28"/>
                <w:szCs w:val="28"/>
              </w:rPr>
              <w:t>референсных</w:t>
            </w:r>
            <w:proofErr w:type="spellEnd"/>
            <w:r w:rsidRPr="002D4331">
              <w:rPr>
                <w:rFonts w:eastAsia="Times New Roman" w:cs="Times New Roman"/>
                <w:sz w:val="28"/>
                <w:szCs w:val="28"/>
              </w:rPr>
              <w:t xml:space="preserve"> макрорегионов «Группы семи» и «Группы двадцати» совпадает (дополнительным консолидированным регионом «Группы двадцати» является только Юго-Восточная Азия). Таким образом, с точки зрения трансляции управляющих импульсов глобального управления с высшего уровня на </w:t>
            </w:r>
            <w:proofErr w:type="spellStart"/>
            <w:r w:rsidRPr="002D4331">
              <w:rPr>
                <w:rFonts w:eastAsia="Times New Roman" w:cs="Times New Roman"/>
                <w:sz w:val="28"/>
                <w:szCs w:val="28"/>
              </w:rPr>
              <w:t>мегарегиональный</w:t>
            </w:r>
            <w:proofErr w:type="spellEnd"/>
            <w:r w:rsidRPr="002D4331">
              <w:rPr>
                <w:rFonts w:eastAsia="Times New Roman" w:cs="Times New Roman"/>
                <w:sz w:val="28"/>
                <w:szCs w:val="28"/>
              </w:rPr>
              <w:t xml:space="preserve"> не </w:t>
            </w:r>
            <w:r w:rsidRPr="002D4331">
              <w:rPr>
                <w:rFonts w:eastAsia="Times New Roman" w:cs="Times New Roman"/>
                <w:sz w:val="28"/>
                <w:szCs w:val="28"/>
              </w:rPr>
              <w:lastRenderedPageBreak/>
              <w:t>существует принципиальных различий между «Группой семи» и «Группой двадцати», несмотря на то, что потенциал воздействия последней с учетом макрорегионов охватывает более 80% населения земного шара и 90% мирового хозяйства.</w:t>
            </w:r>
          </w:p>
        </w:tc>
      </w:tr>
      <w:bookmarkEnd w:id="0"/>
      <w:tr w:rsidR="002877F8" w:rsidRPr="00756474" w:rsidTr="00756474">
        <w:tc>
          <w:tcPr>
            <w:tcW w:w="5532" w:type="dxa"/>
          </w:tcPr>
          <w:p w:rsidR="002877F8" w:rsidRPr="00756474" w:rsidRDefault="002877F8" w:rsidP="001A317F">
            <w:pPr>
              <w:ind w:firstLine="0"/>
              <w:rPr>
                <w:rFonts w:cs="DokChampa"/>
                <w:sz w:val="28"/>
                <w:szCs w:val="28"/>
                <w:lang w:bidi="lo-LA"/>
              </w:rPr>
            </w:pPr>
            <w:r w:rsidRPr="00756474">
              <w:rPr>
                <w:rFonts w:cs="DokChampa"/>
                <w:sz w:val="28"/>
                <w:szCs w:val="28"/>
                <w:lang w:bidi="lo-LA"/>
              </w:rPr>
              <w:lastRenderedPageBreak/>
              <w:t xml:space="preserve">Сноски оформлены по системе «автор-год». </w:t>
            </w:r>
          </w:p>
        </w:tc>
        <w:tc>
          <w:tcPr>
            <w:tcW w:w="3813" w:type="dxa"/>
          </w:tcPr>
          <w:p w:rsidR="002877F8" w:rsidRDefault="008A62E0" w:rsidP="001257B3">
            <w:pPr>
              <w:ind w:firstLine="0"/>
              <w:rPr>
                <w:rFonts w:cs="DokChampa"/>
                <w:sz w:val="28"/>
                <w:szCs w:val="28"/>
                <w:lang w:bidi="lo-LA"/>
              </w:rPr>
            </w:pPr>
            <w:proofErr w:type="gramStart"/>
            <w:r>
              <w:rPr>
                <w:rFonts w:cs="DokChampa"/>
                <w:sz w:val="28"/>
                <w:szCs w:val="28"/>
                <w:lang w:bidi="lo-LA"/>
              </w:rPr>
              <w:t>Сделаны</w:t>
            </w:r>
            <w:proofErr w:type="gramEnd"/>
            <w:r>
              <w:rPr>
                <w:rFonts w:cs="DokChampa"/>
                <w:sz w:val="28"/>
                <w:szCs w:val="28"/>
                <w:lang w:bidi="lo-LA"/>
              </w:rPr>
              <w:t xml:space="preserve"> подвальные</w:t>
            </w:r>
          </w:p>
          <w:p w:rsidR="001A317F" w:rsidRPr="00756474" w:rsidRDefault="001A317F" w:rsidP="001257B3">
            <w:pPr>
              <w:ind w:firstLine="0"/>
              <w:rPr>
                <w:rFonts w:cs="DokChampa"/>
                <w:sz w:val="28"/>
                <w:szCs w:val="28"/>
                <w:lang w:bidi="lo-LA"/>
              </w:rPr>
            </w:pPr>
          </w:p>
        </w:tc>
      </w:tr>
      <w:tr w:rsidR="001A317F" w:rsidRPr="00756474" w:rsidTr="00756474">
        <w:tc>
          <w:tcPr>
            <w:tcW w:w="5532" w:type="dxa"/>
          </w:tcPr>
          <w:p w:rsidR="001A317F" w:rsidRPr="00756474" w:rsidRDefault="001A317F" w:rsidP="001257B3">
            <w:pPr>
              <w:ind w:firstLine="0"/>
              <w:rPr>
                <w:rFonts w:cs="DokChampa"/>
                <w:sz w:val="28"/>
                <w:szCs w:val="28"/>
                <w:lang w:bidi="lo-LA"/>
              </w:rPr>
            </w:pPr>
            <w:r w:rsidRPr="00756474">
              <w:rPr>
                <w:rFonts w:cs="DokChampa"/>
                <w:sz w:val="28"/>
                <w:szCs w:val="28"/>
                <w:lang w:bidi="lo-LA"/>
              </w:rPr>
              <w:t>Нет транслитерации русскоязычных публикаций в списке литературы.</w:t>
            </w:r>
          </w:p>
        </w:tc>
        <w:tc>
          <w:tcPr>
            <w:tcW w:w="3813" w:type="dxa"/>
          </w:tcPr>
          <w:p w:rsidR="001A317F" w:rsidRDefault="001A317F" w:rsidP="001257B3">
            <w:pPr>
              <w:ind w:firstLine="0"/>
              <w:rPr>
                <w:rFonts w:cs="DokChampa"/>
                <w:sz w:val="28"/>
                <w:szCs w:val="28"/>
                <w:lang w:bidi="lo-LA"/>
              </w:rPr>
            </w:pPr>
            <w:r>
              <w:rPr>
                <w:rFonts w:cs="DokChampa"/>
                <w:sz w:val="28"/>
                <w:szCs w:val="28"/>
                <w:lang w:bidi="lo-LA"/>
              </w:rPr>
              <w:t xml:space="preserve">Выполнена </w:t>
            </w:r>
          </w:p>
        </w:tc>
      </w:tr>
      <w:tr w:rsidR="001A317F" w:rsidRPr="00756474" w:rsidTr="00756474">
        <w:tc>
          <w:tcPr>
            <w:tcW w:w="5532" w:type="dxa"/>
          </w:tcPr>
          <w:p w:rsidR="001A317F" w:rsidRPr="00756474" w:rsidRDefault="001A317F" w:rsidP="001257B3">
            <w:pPr>
              <w:ind w:firstLine="0"/>
              <w:rPr>
                <w:rFonts w:cs="DokChampa"/>
                <w:sz w:val="28"/>
                <w:szCs w:val="28"/>
                <w:lang w:bidi="lo-LA"/>
              </w:rPr>
            </w:pPr>
            <w:r w:rsidRPr="00756474">
              <w:rPr>
                <w:rFonts w:cs="DokChampa"/>
                <w:sz w:val="28"/>
                <w:szCs w:val="28"/>
                <w:lang w:bidi="lo-LA"/>
              </w:rPr>
              <w:t>Статья написана двумя авторами, но по тексту упоминается только один.</w:t>
            </w:r>
          </w:p>
        </w:tc>
        <w:tc>
          <w:tcPr>
            <w:tcW w:w="3813" w:type="dxa"/>
          </w:tcPr>
          <w:p w:rsidR="001A317F" w:rsidRDefault="001A317F" w:rsidP="001257B3">
            <w:pPr>
              <w:ind w:firstLine="0"/>
              <w:rPr>
                <w:rFonts w:cs="DokChampa"/>
                <w:sz w:val="28"/>
                <w:szCs w:val="28"/>
                <w:lang w:bidi="lo-LA"/>
              </w:rPr>
            </w:pPr>
            <w:r>
              <w:rPr>
                <w:rFonts w:cs="DokChampa"/>
                <w:sz w:val="28"/>
                <w:szCs w:val="28"/>
                <w:lang w:bidi="lo-LA"/>
              </w:rPr>
              <w:t>Исправлено</w:t>
            </w:r>
          </w:p>
        </w:tc>
      </w:tr>
    </w:tbl>
    <w:p w:rsidR="00E87081" w:rsidRDefault="00E87081" w:rsidP="00427584">
      <w:pPr>
        <w:ind w:firstLine="0"/>
        <w:rPr>
          <w:rFonts w:cs="DokChampa"/>
          <w:sz w:val="28"/>
          <w:szCs w:val="28"/>
          <w:lang w:bidi="lo-LA"/>
        </w:rPr>
      </w:pPr>
      <w:r>
        <w:rPr>
          <w:rFonts w:cs="DokChampa"/>
          <w:sz w:val="28"/>
          <w:szCs w:val="28"/>
          <w:lang w:bidi="lo-LA"/>
        </w:rPr>
        <w:t>Рекомендуется к публикации после исправлений авторами.</w:t>
      </w:r>
    </w:p>
    <w:sectPr w:rsidR="00E87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584"/>
    <w:rsid w:val="00000612"/>
    <w:rsid w:val="00005A47"/>
    <w:rsid w:val="00007B20"/>
    <w:rsid w:val="00010FAE"/>
    <w:rsid w:val="000115AC"/>
    <w:rsid w:val="000127E8"/>
    <w:rsid w:val="00016C27"/>
    <w:rsid w:val="00016D7D"/>
    <w:rsid w:val="00027F3C"/>
    <w:rsid w:val="00032401"/>
    <w:rsid w:val="00033128"/>
    <w:rsid w:val="0003314C"/>
    <w:rsid w:val="00034B08"/>
    <w:rsid w:val="000403DA"/>
    <w:rsid w:val="000447F3"/>
    <w:rsid w:val="0005006C"/>
    <w:rsid w:val="00051896"/>
    <w:rsid w:val="00051EEC"/>
    <w:rsid w:val="00052674"/>
    <w:rsid w:val="000560DD"/>
    <w:rsid w:val="000638FA"/>
    <w:rsid w:val="00076914"/>
    <w:rsid w:val="0007794C"/>
    <w:rsid w:val="00077DD0"/>
    <w:rsid w:val="00081773"/>
    <w:rsid w:val="00081C7A"/>
    <w:rsid w:val="0008343F"/>
    <w:rsid w:val="00083965"/>
    <w:rsid w:val="00085DF7"/>
    <w:rsid w:val="0008685E"/>
    <w:rsid w:val="00091D93"/>
    <w:rsid w:val="000955C7"/>
    <w:rsid w:val="000976DA"/>
    <w:rsid w:val="000A4DB5"/>
    <w:rsid w:val="000B309B"/>
    <w:rsid w:val="000B6EBE"/>
    <w:rsid w:val="000D1CA0"/>
    <w:rsid w:val="000D2CF4"/>
    <w:rsid w:val="000D37EA"/>
    <w:rsid w:val="000D4321"/>
    <w:rsid w:val="000D473F"/>
    <w:rsid w:val="000D726A"/>
    <w:rsid w:val="000E10B3"/>
    <w:rsid w:val="000E17CB"/>
    <w:rsid w:val="000E2A01"/>
    <w:rsid w:val="000E6E6F"/>
    <w:rsid w:val="000F0F4A"/>
    <w:rsid w:val="000F659F"/>
    <w:rsid w:val="00104175"/>
    <w:rsid w:val="00110591"/>
    <w:rsid w:val="001117E0"/>
    <w:rsid w:val="0011520A"/>
    <w:rsid w:val="00115672"/>
    <w:rsid w:val="00115AD3"/>
    <w:rsid w:val="00116395"/>
    <w:rsid w:val="00121755"/>
    <w:rsid w:val="00123605"/>
    <w:rsid w:val="001251A7"/>
    <w:rsid w:val="001257B3"/>
    <w:rsid w:val="00130026"/>
    <w:rsid w:val="001304BE"/>
    <w:rsid w:val="0013231D"/>
    <w:rsid w:val="00133C4E"/>
    <w:rsid w:val="00147A38"/>
    <w:rsid w:val="00147DC2"/>
    <w:rsid w:val="00152638"/>
    <w:rsid w:val="001544D3"/>
    <w:rsid w:val="00154907"/>
    <w:rsid w:val="00162FD3"/>
    <w:rsid w:val="00163BFF"/>
    <w:rsid w:val="001654F5"/>
    <w:rsid w:val="00181F6F"/>
    <w:rsid w:val="0018468B"/>
    <w:rsid w:val="00192DA0"/>
    <w:rsid w:val="001975F2"/>
    <w:rsid w:val="001A317F"/>
    <w:rsid w:val="001A4C2F"/>
    <w:rsid w:val="001A71EA"/>
    <w:rsid w:val="001B0C42"/>
    <w:rsid w:val="001B0EDF"/>
    <w:rsid w:val="001B68DD"/>
    <w:rsid w:val="001C3920"/>
    <w:rsid w:val="001C70AF"/>
    <w:rsid w:val="001C7769"/>
    <w:rsid w:val="001D0824"/>
    <w:rsid w:val="001D0C8A"/>
    <w:rsid w:val="001D2721"/>
    <w:rsid w:val="001D2E27"/>
    <w:rsid w:val="001E0BF5"/>
    <w:rsid w:val="001E39CE"/>
    <w:rsid w:val="001E5055"/>
    <w:rsid w:val="001E51B6"/>
    <w:rsid w:val="001F0DA5"/>
    <w:rsid w:val="001F0E8F"/>
    <w:rsid w:val="001F4065"/>
    <w:rsid w:val="001F4954"/>
    <w:rsid w:val="001F78B7"/>
    <w:rsid w:val="00202634"/>
    <w:rsid w:val="002066F7"/>
    <w:rsid w:val="00206890"/>
    <w:rsid w:val="002073CC"/>
    <w:rsid w:val="0021223B"/>
    <w:rsid w:val="00212B20"/>
    <w:rsid w:val="00214982"/>
    <w:rsid w:val="002230B1"/>
    <w:rsid w:val="002234FF"/>
    <w:rsid w:val="002240F9"/>
    <w:rsid w:val="00227A74"/>
    <w:rsid w:val="002310C2"/>
    <w:rsid w:val="00231EB5"/>
    <w:rsid w:val="00235EA2"/>
    <w:rsid w:val="00236819"/>
    <w:rsid w:val="00240C92"/>
    <w:rsid w:val="0024500B"/>
    <w:rsid w:val="002477CE"/>
    <w:rsid w:val="00252A63"/>
    <w:rsid w:val="002546EF"/>
    <w:rsid w:val="00256737"/>
    <w:rsid w:val="00256A3B"/>
    <w:rsid w:val="00257845"/>
    <w:rsid w:val="002626B4"/>
    <w:rsid w:val="002633CD"/>
    <w:rsid w:val="00264E60"/>
    <w:rsid w:val="0026598A"/>
    <w:rsid w:val="00266B08"/>
    <w:rsid w:val="002730CB"/>
    <w:rsid w:val="00274876"/>
    <w:rsid w:val="00276C14"/>
    <w:rsid w:val="00277777"/>
    <w:rsid w:val="0028041D"/>
    <w:rsid w:val="00280A00"/>
    <w:rsid w:val="00281657"/>
    <w:rsid w:val="002839C0"/>
    <w:rsid w:val="00284A8D"/>
    <w:rsid w:val="00285219"/>
    <w:rsid w:val="00285267"/>
    <w:rsid w:val="002877F8"/>
    <w:rsid w:val="002917BD"/>
    <w:rsid w:val="00293D80"/>
    <w:rsid w:val="00295D07"/>
    <w:rsid w:val="002A6725"/>
    <w:rsid w:val="002A7B4F"/>
    <w:rsid w:val="002B57B5"/>
    <w:rsid w:val="002C21BF"/>
    <w:rsid w:val="002C3689"/>
    <w:rsid w:val="002C4004"/>
    <w:rsid w:val="002C4120"/>
    <w:rsid w:val="002C54B5"/>
    <w:rsid w:val="002C5577"/>
    <w:rsid w:val="002C7579"/>
    <w:rsid w:val="002C7BF6"/>
    <w:rsid w:val="002D31BD"/>
    <w:rsid w:val="002D4331"/>
    <w:rsid w:val="002D45E0"/>
    <w:rsid w:val="002E2D32"/>
    <w:rsid w:val="002E2EEE"/>
    <w:rsid w:val="002E6CE3"/>
    <w:rsid w:val="002F5269"/>
    <w:rsid w:val="003059A4"/>
    <w:rsid w:val="00307B9E"/>
    <w:rsid w:val="003127F0"/>
    <w:rsid w:val="00312E67"/>
    <w:rsid w:val="003146A8"/>
    <w:rsid w:val="003154CF"/>
    <w:rsid w:val="00321E4C"/>
    <w:rsid w:val="00334120"/>
    <w:rsid w:val="003354F5"/>
    <w:rsid w:val="003369FB"/>
    <w:rsid w:val="003406BE"/>
    <w:rsid w:val="00341BD6"/>
    <w:rsid w:val="0034476A"/>
    <w:rsid w:val="003450F3"/>
    <w:rsid w:val="00353FA7"/>
    <w:rsid w:val="00364DF2"/>
    <w:rsid w:val="003710A0"/>
    <w:rsid w:val="003758A3"/>
    <w:rsid w:val="00375A98"/>
    <w:rsid w:val="00380AE6"/>
    <w:rsid w:val="00381444"/>
    <w:rsid w:val="00383BDD"/>
    <w:rsid w:val="00383E82"/>
    <w:rsid w:val="0039103F"/>
    <w:rsid w:val="003A3D72"/>
    <w:rsid w:val="003B0177"/>
    <w:rsid w:val="003B1010"/>
    <w:rsid w:val="003B2BB6"/>
    <w:rsid w:val="003B783C"/>
    <w:rsid w:val="003C0911"/>
    <w:rsid w:val="003C6119"/>
    <w:rsid w:val="003D5567"/>
    <w:rsid w:val="003D5B0B"/>
    <w:rsid w:val="003D6F9B"/>
    <w:rsid w:val="003E1EC2"/>
    <w:rsid w:val="003E5203"/>
    <w:rsid w:val="003F5CA1"/>
    <w:rsid w:val="003F69B8"/>
    <w:rsid w:val="004035CF"/>
    <w:rsid w:val="00407A1D"/>
    <w:rsid w:val="00413E21"/>
    <w:rsid w:val="00420230"/>
    <w:rsid w:val="004248FC"/>
    <w:rsid w:val="00427584"/>
    <w:rsid w:val="00431BBD"/>
    <w:rsid w:val="0044245D"/>
    <w:rsid w:val="00443433"/>
    <w:rsid w:val="00445070"/>
    <w:rsid w:val="004459F4"/>
    <w:rsid w:val="00447932"/>
    <w:rsid w:val="00447C0F"/>
    <w:rsid w:val="00452C1F"/>
    <w:rsid w:val="004609D3"/>
    <w:rsid w:val="00462AAD"/>
    <w:rsid w:val="00463245"/>
    <w:rsid w:val="00466837"/>
    <w:rsid w:val="00467184"/>
    <w:rsid w:val="00467891"/>
    <w:rsid w:val="00471A0B"/>
    <w:rsid w:val="00471CE9"/>
    <w:rsid w:val="00484C94"/>
    <w:rsid w:val="00487AEE"/>
    <w:rsid w:val="00487B29"/>
    <w:rsid w:val="00490468"/>
    <w:rsid w:val="00494126"/>
    <w:rsid w:val="004943FE"/>
    <w:rsid w:val="00497FBD"/>
    <w:rsid w:val="004A0162"/>
    <w:rsid w:val="004A43D7"/>
    <w:rsid w:val="004A6259"/>
    <w:rsid w:val="004A6EAA"/>
    <w:rsid w:val="004B2F09"/>
    <w:rsid w:val="004B386A"/>
    <w:rsid w:val="004B519A"/>
    <w:rsid w:val="004C304E"/>
    <w:rsid w:val="004C605B"/>
    <w:rsid w:val="004C6F41"/>
    <w:rsid w:val="004C7A35"/>
    <w:rsid w:val="004C7F70"/>
    <w:rsid w:val="004D19D1"/>
    <w:rsid w:val="004D6031"/>
    <w:rsid w:val="004D6577"/>
    <w:rsid w:val="004D756B"/>
    <w:rsid w:val="004E2FDF"/>
    <w:rsid w:val="004E40AD"/>
    <w:rsid w:val="004E4C90"/>
    <w:rsid w:val="004E5724"/>
    <w:rsid w:val="004E67B4"/>
    <w:rsid w:val="004E7750"/>
    <w:rsid w:val="004F0560"/>
    <w:rsid w:val="004F2888"/>
    <w:rsid w:val="004F70DF"/>
    <w:rsid w:val="004F7F1E"/>
    <w:rsid w:val="00510E76"/>
    <w:rsid w:val="00511CED"/>
    <w:rsid w:val="00520AD4"/>
    <w:rsid w:val="0052231E"/>
    <w:rsid w:val="005313EA"/>
    <w:rsid w:val="00534C78"/>
    <w:rsid w:val="005356D8"/>
    <w:rsid w:val="00535FD1"/>
    <w:rsid w:val="00540439"/>
    <w:rsid w:val="00540504"/>
    <w:rsid w:val="005410F0"/>
    <w:rsid w:val="0054637A"/>
    <w:rsid w:val="00546B77"/>
    <w:rsid w:val="00547D31"/>
    <w:rsid w:val="00550A7D"/>
    <w:rsid w:val="00552BE9"/>
    <w:rsid w:val="00553E6A"/>
    <w:rsid w:val="005541D9"/>
    <w:rsid w:val="005579A7"/>
    <w:rsid w:val="00557F91"/>
    <w:rsid w:val="00560E03"/>
    <w:rsid w:val="00561172"/>
    <w:rsid w:val="00561B3C"/>
    <w:rsid w:val="00565B72"/>
    <w:rsid w:val="005660D3"/>
    <w:rsid w:val="005726BC"/>
    <w:rsid w:val="005726DD"/>
    <w:rsid w:val="00572F8E"/>
    <w:rsid w:val="00574225"/>
    <w:rsid w:val="0057443F"/>
    <w:rsid w:val="005769B1"/>
    <w:rsid w:val="00580903"/>
    <w:rsid w:val="00584DC7"/>
    <w:rsid w:val="00590733"/>
    <w:rsid w:val="00591D85"/>
    <w:rsid w:val="00591F18"/>
    <w:rsid w:val="00595766"/>
    <w:rsid w:val="005A1E60"/>
    <w:rsid w:val="005A3C43"/>
    <w:rsid w:val="005A4907"/>
    <w:rsid w:val="005B36B2"/>
    <w:rsid w:val="005B5B63"/>
    <w:rsid w:val="005B6F2B"/>
    <w:rsid w:val="005C0FED"/>
    <w:rsid w:val="005C1006"/>
    <w:rsid w:val="005C27DB"/>
    <w:rsid w:val="005C3A6B"/>
    <w:rsid w:val="005C4718"/>
    <w:rsid w:val="005C527F"/>
    <w:rsid w:val="005C59E9"/>
    <w:rsid w:val="005C5A4C"/>
    <w:rsid w:val="005C64DC"/>
    <w:rsid w:val="005C79EB"/>
    <w:rsid w:val="005D15A4"/>
    <w:rsid w:val="005D1E5A"/>
    <w:rsid w:val="005D29CF"/>
    <w:rsid w:val="005D4BCD"/>
    <w:rsid w:val="005D51D6"/>
    <w:rsid w:val="005E64C6"/>
    <w:rsid w:val="005E6C56"/>
    <w:rsid w:val="005E7C98"/>
    <w:rsid w:val="005F5C46"/>
    <w:rsid w:val="00600BD6"/>
    <w:rsid w:val="00602027"/>
    <w:rsid w:val="0060616F"/>
    <w:rsid w:val="006070CF"/>
    <w:rsid w:val="00611C62"/>
    <w:rsid w:val="00612621"/>
    <w:rsid w:val="00614968"/>
    <w:rsid w:val="00622986"/>
    <w:rsid w:val="00624DAC"/>
    <w:rsid w:val="00625C32"/>
    <w:rsid w:val="00626B4D"/>
    <w:rsid w:val="00627C1C"/>
    <w:rsid w:val="00633900"/>
    <w:rsid w:val="00642FAD"/>
    <w:rsid w:val="00643503"/>
    <w:rsid w:val="00643575"/>
    <w:rsid w:val="006445A6"/>
    <w:rsid w:val="00644D9F"/>
    <w:rsid w:val="006473A5"/>
    <w:rsid w:val="00647FF8"/>
    <w:rsid w:val="006501EF"/>
    <w:rsid w:val="00652037"/>
    <w:rsid w:val="006534CD"/>
    <w:rsid w:val="00655513"/>
    <w:rsid w:val="00660281"/>
    <w:rsid w:val="00660806"/>
    <w:rsid w:val="00665368"/>
    <w:rsid w:val="00667257"/>
    <w:rsid w:val="00667DCA"/>
    <w:rsid w:val="006707F6"/>
    <w:rsid w:val="0067083F"/>
    <w:rsid w:val="00670B22"/>
    <w:rsid w:val="00672384"/>
    <w:rsid w:val="00672B03"/>
    <w:rsid w:val="006753CF"/>
    <w:rsid w:val="00681570"/>
    <w:rsid w:val="0068157F"/>
    <w:rsid w:val="006848EB"/>
    <w:rsid w:val="00686B8E"/>
    <w:rsid w:val="00692628"/>
    <w:rsid w:val="00692B66"/>
    <w:rsid w:val="0069362D"/>
    <w:rsid w:val="00693AD9"/>
    <w:rsid w:val="00694301"/>
    <w:rsid w:val="00694DE1"/>
    <w:rsid w:val="00695A88"/>
    <w:rsid w:val="0069684D"/>
    <w:rsid w:val="00696DA3"/>
    <w:rsid w:val="006A4EA5"/>
    <w:rsid w:val="006A55FC"/>
    <w:rsid w:val="006A75FF"/>
    <w:rsid w:val="006A76D2"/>
    <w:rsid w:val="006B02CD"/>
    <w:rsid w:val="006B37A0"/>
    <w:rsid w:val="006B5C63"/>
    <w:rsid w:val="006C2208"/>
    <w:rsid w:val="006C60F5"/>
    <w:rsid w:val="006C6F7B"/>
    <w:rsid w:val="006D1B6F"/>
    <w:rsid w:val="006D240C"/>
    <w:rsid w:val="006D378E"/>
    <w:rsid w:val="006D4B9E"/>
    <w:rsid w:val="006D77E7"/>
    <w:rsid w:val="006F4E85"/>
    <w:rsid w:val="006F511E"/>
    <w:rsid w:val="006F54A5"/>
    <w:rsid w:val="006F61BC"/>
    <w:rsid w:val="00702884"/>
    <w:rsid w:val="0070437A"/>
    <w:rsid w:val="007102D2"/>
    <w:rsid w:val="0071151B"/>
    <w:rsid w:val="00711B1B"/>
    <w:rsid w:val="0071522D"/>
    <w:rsid w:val="007170A6"/>
    <w:rsid w:val="007229AD"/>
    <w:rsid w:val="00724D82"/>
    <w:rsid w:val="00725DA2"/>
    <w:rsid w:val="00730FCD"/>
    <w:rsid w:val="00736E16"/>
    <w:rsid w:val="00737131"/>
    <w:rsid w:val="00740DEB"/>
    <w:rsid w:val="007423AB"/>
    <w:rsid w:val="0074683C"/>
    <w:rsid w:val="00747459"/>
    <w:rsid w:val="00752980"/>
    <w:rsid w:val="00754236"/>
    <w:rsid w:val="00755337"/>
    <w:rsid w:val="00756474"/>
    <w:rsid w:val="00757663"/>
    <w:rsid w:val="00760F7D"/>
    <w:rsid w:val="007638B3"/>
    <w:rsid w:val="00763A85"/>
    <w:rsid w:val="00764804"/>
    <w:rsid w:val="00766729"/>
    <w:rsid w:val="0077352C"/>
    <w:rsid w:val="00773EA5"/>
    <w:rsid w:val="0079255D"/>
    <w:rsid w:val="007C2741"/>
    <w:rsid w:val="007C6FC1"/>
    <w:rsid w:val="007C7E47"/>
    <w:rsid w:val="007C7F00"/>
    <w:rsid w:val="007D2D68"/>
    <w:rsid w:val="007D3613"/>
    <w:rsid w:val="007D3C13"/>
    <w:rsid w:val="007D4969"/>
    <w:rsid w:val="007D5EE6"/>
    <w:rsid w:val="007D738E"/>
    <w:rsid w:val="007D7AFC"/>
    <w:rsid w:val="007E06E5"/>
    <w:rsid w:val="007E2FE0"/>
    <w:rsid w:val="007E70B2"/>
    <w:rsid w:val="007F09B2"/>
    <w:rsid w:val="007F0F49"/>
    <w:rsid w:val="007F28F2"/>
    <w:rsid w:val="007F54AE"/>
    <w:rsid w:val="007F652D"/>
    <w:rsid w:val="00801093"/>
    <w:rsid w:val="00804308"/>
    <w:rsid w:val="00804835"/>
    <w:rsid w:val="008060BA"/>
    <w:rsid w:val="00810F47"/>
    <w:rsid w:val="00822711"/>
    <w:rsid w:val="00827379"/>
    <w:rsid w:val="00827ED6"/>
    <w:rsid w:val="008307F4"/>
    <w:rsid w:val="00831E31"/>
    <w:rsid w:val="00836891"/>
    <w:rsid w:val="008420A3"/>
    <w:rsid w:val="00842859"/>
    <w:rsid w:val="00844111"/>
    <w:rsid w:val="00844154"/>
    <w:rsid w:val="00845F8F"/>
    <w:rsid w:val="00851FB7"/>
    <w:rsid w:val="0085208F"/>
    <w:rsid w:val="0085223A"/>
    <w:rsid w:val="008612AA"/>
    <w:rsid w:val="008616AA"/>
    <w:rsid w:val="008625B0"/>
    <w:rsid w:val="008628AA"/>
    <w:rsid w:val="00865120"/>
    <w:rsid w:val="00870C84"/>
    <w:rsid w:val="0087240E"/>
    <w:rsid w:val="008725EB"/>
    <w:rsid w:val="00874E44"/>
    <w:rsid w:val="00875453"/>
    <w:rsid w:val="00875AB6"/>
    <w:rsid w:val="00877BA3"/>
    <w:rsid w:val="00881C4A"/>
    <w:rsid w:val="00881EBE"/>
    <w:rsid w:val="0088203F"/>
    <w:rsid w:val="00882B6D"/>
    <w:rsid w:val="00883072"/>
    <w:rsid w:val="00890AAA"/>
    <w:rsid w:val="00892310"/>
    <w:rsid w:val="008959DF"/>
    <w:rsid w:val="008959E6"/>
    <w:rsid w:val="008A03A1"/>
    <w:rsid w:val="008A62E0"/>
    <w:rsid w:val="008B1A77"/>
    <w:rsid w:val="008B1E3C"/>
    <w:rsid w:val="008B2442"/>
    <w:rsid w:val="008B523B"/>
    <w:rsid w:val="008C03AA"/>
    <w:rsid w:val="008C0EBE"/>
    <w:rsid w:val="008C3820"/>
    <w:rsid w:val="008C6002"/>
    <w:rsid w:val="008D06BC"/>
    <w:rsid w:val="008D1493"/>
    <w:rsid w:val="008D1A3F"/>
    <w:rsid w:val="008D4181"/>
    <w:rsid w:val="008E6903"/>
    <w:rsid w:val="008F564C"/>
    <w:rsid w:val="008F7A93"/>
    <w:rsid w:val="00901994"/>
    <w:rsid w:val="0090360B"/>
    <w:rsid w:val="00904A14"/>
    <w:rsid w:val="00907FC0"/>
    <w:rsid w:val="009100E5"/>
    <w:rsid w:val="00910FA6"/>
    <w:rsid w:val="00915643"/>
    <w:rsid w:val="009164F1"/>
    <w:rsid w:val="00916686"/>
    <w:rsid w:val="00923E83"/>
    <w:rsid w:val="009252A4"/>
    <w:rsid w:val="0092784F"/>
    <w:rsid w:val="00927FEC"/>
    <w:rsid w:val="0093219B"/>
    <w:rsid w:val="00932946"/>
    <w:rsid w:val="0093301C"/>
    <w:rsid w:val="00933BAB"/>
    <w:rsid w:val="009342BC"/>
    <w:rsid w:val="0094055C"/>
    <w:rsid w:val="009436EF"/>
    <w:rsid w:val="00951FE3"/>
    <w:rsid w:val="00952245"/>
    <w:rsid w:val="009525E2"/>
    <w:rsid w:val="0095267A"/>
    <w:rsid w:val="00956385"/>
    <w:rsid w:val="009609DC"/>
    <w:rsid w:val="00964703"/>
    <w:rsid w:val="00964960"/>
    <w:rsid w:val="009654DD"/>
    <w:rsid w:val="00967EE8"/>
    <w:rsid w:val="00970189"/>
    <w:rsid w:val="00971E27"/>
    <w:rsid w:val="00972600"/>
    <w:rsid w:val="00973ED2"/>
    <w:rsid w:val="00974D3C"/>
    <w:rsid w:val="00982227"/>
    <w:rsid w:val="009826B8"/>
    <w:rsid w:val="00983154"/>
    <w:rsid w:val="00984B9A"/>
    <w:rsid w:val="009853A3"/>
    <w:rsid w:val="00985452"/>
    <w:rsid w:val="00991C94"/>
    <w:rsid w:val="0099571E"/>
    <w:rsid w:val="009964C7"/>
    <w:rsid w:val="009A1425"/>
    <w:rsid w:val="009A5B0F"/>
    <w:rsid w:val="009A636D"/>
    <w:rsid w:val="009A71E2"/>
    <w:rsid w:val="009A7624"/>
    <w:rsid w:val="009A7996"/>
    <w:rsid w:val="009B061C"/>
    <w:rsid w:val="009B0E30"/>
    <w:rsid w:val="009B41C7"/>
    <w:rsid w:val="009B520C"/>
    <w:rsid w:val="009B586C"/>
    <w:rsid w:val="009B7AF8"/>
    <w:rsid w:val="009C05E2"/>
    <w:rsid w:val="009C2302"/>
    <w:rsid w:val="009C4371"/>
    <w:rsid w:val="009C4B4F"/>
    <w:rsid w:val="009C636B"/>
    <w:rsid w:val="009D486D"/>
    <w:rsid w:val="009D719B"/>
    <w:rsid w:val="009D78FB"/>
    <w:rsid w:val="009E275C"/>
    <w:rsid w:val="009E394F"/>
    <w:rsid w:val="009F398D"/>
    <w:rsid w:val="009F63A6"/>
    <w:rsid w:val="00A01A8C"/>
    <w:rsid w:val="00A04442"/>
    <w:rsid w:val="00A0690D"/>
    <w:rsid w:val="00A12A9A"/>
    <w:rsid w:val="00A12E82"/>
    <w:rsid w:val="00A13FCE"/>
    <w:rsid w:val="00A1525A"/>
    <w:rsid w:val="00A1647A"/>
    <w:rsid w:val="00A25309"/>
    <w:rsid w:val="00A32268"/>
    <w:rsid w:val="00A32DB5"/>
    <w:rsid w:val="00A424DF"/>
    <w:rsid w:val="00A437A1"/>
    <w:rsid w:val="00A51421"/>
    <w:rsid w:val="00A51EB2"/>
    <w:rsid w:val="00A52A41"/>
    <w:rsid w:val="00A53844"/>
    <w:rsid w:val="00A57151"/>
    <w:rsid w:val="00A60473"/>
    <w:rsid w:val="00A62FAF"/>
    <w:rsid w:val="00A642E6"/>
    <w:rsid w:val="00A648C8"/>
    <w:rsid w:val="00A710D5"/>
    <w:rsid w:val="00A7508E"/>
    <w:rsid w:val="00A807A7"/>
    <w:rsid w:val="00A82FD7"/>
    <w:rsid w:val="00A95DF7"/>
    <w:rsid w:val="00A961AC"/>
    <w:rsid w:val="00A97BCA"/>
    <w:rsid w:val="00A97F63"/>
    <w:rsid w:val="00AA2004"/>
    <w:rsid w:val="00AA23DD"/>
    <w:rsid w:val="00AA3239"/>
    <w:rsid w:val="00AA5501"/>
    <w:rsid w:val="00AA5C2C"/>
    <w:rsid w:val="00AA601B"/>
    <w:rsid w:val="00AB3D84"/>
    <w:rsid w:val="00AC04A2"/>
    <w:rsid w:val="00AC06B3"/>
    <w:rsid w:val="00AC5327"/>
    <w:rsid w:val="00AC574A"/>
    <w:rsid w:val="00AC615B"/>
    <w:rsid w:val="00AD2B93"/>
    <w:rsid w:val="00AD46D4"/>
    <w:rsid w:val="00AE5A20"/>
    <w:rsid w:val="00B02686"/>
    <w:rsid w:val="00B06766"/>
    <w:rsid w:val="00B1086D"/>
    <w:rsid w:val="00B109C3"/>
    <w:rsid w:val="00B1118A"/>
    <w:rsid w:val="00B13C0A"/>
    <w:rsid w:val="00B140CD"/>
    <w:rsid w:val="00B1428D"/>
    <w:rsid w:val="00B24CCB"/>
    <w:rsid w:val="00B25C7A"/>
    <w:rsid w:val="00B3564F"/>
    <w:rsid w:val="00B37BAA"/>
    <w:rsid w:val="00B47E08"/>
    <w:rsid w:val="00B50A3A"/>
    <w:rsid w:val="00B51E97"/>
    <w:rsid w:val="00B52050"/>
    <w:rsid w:val="00B5734F"/>
    <w:rsid w:val="00B622A0"/>
    <w:rsid w:val="00B62EE0"/>
    <w:rsid w:val="00B65508"/>
    <w:rsid w:val="00B658B7"/>
    <w:rsid w:val="00B707ED"/>
    <w:rsid w:val="00B721DA"/>
    <w:rsid w:val="00B821A2"/>
    <w:rsid w:val="00B875F2"/>
    <w:rsid w:val="00B95A75"/>
    <w:rsid w:val="00B96A97"/>
    <w:rsid w:val="00BA34BA"/>
    <w:rsid w:val="00BA4302"/>
    <w:rsid w:val="00BA54FA"/>
    <w:rsid w:val="00BA57CD"/>
    <w:rsid w:val="00BB1DC5"/>
    <w:rsid w:val="00BB57AB"/>
    <w:rsid w:val="00BC096C"/>
    <w:rsid w:val="00BC4187"/>
    <w:rsid w:val="00BD44A3"/>
    <w:rsid w:val="00BD641A"/>
    <w:rsid w:val="00BE38D0"/>
    <w:rsid w:val="00BF1127"/>
    <w:rsid w:val="00BF1DF3"/>
    <w:rsid w:val="00BF5408"/>
    <w:rsid w:val="00C02580"/>
    <w:rsid w:val="00C051AB"/>
    <w:rsid w:val="00C10285"/>
    <w:rsid w:val="00C2713A"/>
    <w:rsid w:val="00C311EE"/>
    <w:rsid w:val="00C33D6C"/>
    <w:rsid w:val="00C357E1"/>
    <w:rsid w:val="00C43FB3"/>
    <w:rsid w:val="00C461EE"/>
    <w:rsid w:val="00C522C0"/>
    <w:rsid w:val="00C566CF"/>
    <w:rsid w:val="00C60221"/>
    <w:rsid w:val="00C61827"/>
    <w:rsid w:val="00C650A4"/>
    <w:rsid w:val="00C655A5"/>
    <w:rsid w:val="00C70568"/>
    <w:rsid w:val="00C749B6"/>
    <w:rsid w:val="00C77AB0"/>
    <w:rsid w:val="00C82DFC"/>
    <w:rsid w:val="00C908E9"/>
    <w:rsid w:val="00C94B32"/>
    <w:rsid w:val="00C94CFD"/>
    <w:rsid w:val="00CA3DCB"/>
    <w:rsid w:val="00CA4BC0"/>
    <w:rsid w:val="00CA5085"/>
    <w:rsid w:val="00CA5636"/>
    <w:rsid w:val="00CA66F1"/>
    <w:rsid w:val="00CB339B"/>
    <w:rsid w:val="00CB4590"/>
    <w:rsid w:val="00CC094C"/>
    <w:rsid w:val="00CC1110"/>
    <w:rsid w:val="00CC503E"/>
    <w:rsid w:val="00CD2FAF"/>
    <w:rsid w:val="00CD47FA"/>
    <w:rsid w:val="00CD6B22"/>
    <w:rsid w:val="00CD77E8"/>
    <w:rsid w:val="00CE3591"/>
    <w:rsid w:val="00CE5D5E"/>
    <w:rsid w:val="00CF0820"/>
    <w:rsid w:val="00CF53C0"/>
    <w:rsid w:val="00CF65C5"/>
    <w:rsid w:val="00D013EC"/>
    <w:rsid w:val="00D031BC"/>
    <w:rsid w:val="00D065D3"/>
    <w:rsid w:val="00D073ED"/>
    <w:rsid w:val="00D07F08"/>
    <w:rsid w:val="00D103AE"/>
    <w:rsid w:val="00D1148A"/>
    <w:rsid w:val="00D12102"/>
    <w:rsid w:val="00D14C9C"/>
    <w:rsid w:val="00D15D85"/>
    <w:rsid w:val="00D15D99"/>
    <w:rsid w:val="00D214A0"/>
    <w:rsid w:val="00D2289F"/>
    <w:rsid w:val="00D27A81"/>
    <w:rsid w:val="00D361D2"/>
    <w:rsid w:val="00D367B4"/>
    <w:rsid w:val="00D377D7"/>
    <w:rsid w:val="00D42D1F"/>
    <w:rsid w:val="00D4424F"/>
    <w:rsid w:val="00D46F0B"/>
    <w:rsid w:val="00D47083"/>
    <w:rsid w:val="00D507EB"/>
    <w:rsid w:val="00D539A5"/>
    <w:rsid w:val="00D54155"/>
    <w:rsid w:val="00D60D21"/>
    <w:rsid w:val="00D614BA"/>
    <w:rsid w:val="00D648EF"/>
    <w:rsid w:val="00D66EDD"/>
    <w:rsid w:val="00D67A84"/>
    <w:rsid w:val="00D72183"/>
    <w:rsid w:val="00D72392"/>
    <w:rsid w:val="00D7458E"/>
    <w:rsid w:val="00D764C8"/>
    <w:rsid w:val="00D76720"/>
    <w:rsid w:val="00D804D0"/>
    <w:rsid w:val="00D81025"/>
    <w:rsid w:val="00D83B10"/>
    <w:rsid w:val="00D862B7"/>
    <w:rsid w:val="00D93F68"/>
    <w:rsid w:val="00D94565"/>
    <w:rsid w:val="00D97771"/>
    <w:rsid w:val="00DA357C"/>
    <w:rsid w:val="00DA6124"/>
    <w:rsid w:val="00DB0265"/>
    <w:rsid w:val="00DB0E7A"/>
    <w:rsid w:val="00DB1765"/>
    <w:rsid w:val="00DB5D5B"/>
    <w:rsid w:val="00DB73EF"/>
    <w:rsid w:val="00DC3AFC"/>
    <w:rsid w:val="00DD07E5"/>
    <w:rsid w:val="00DD1946"/>
    <w:rsid w:val="00DD2B99"/>
    <w:rsid w:val="00DD4A13"/>
    <w:rsid w:val="00DE05B7"/>
    <w:rsid w:val="00DE1E08"/>
    <w:rsid w:val="00DE4BD2"/>
    <w:rsid w:val="00DF0D5E"/>
    <w:rsid w:val="00DF357E"/>
    <w:rsid w:val="00DF66D0"/>
    <w:rsid w:val="00E0244F"/>
    <w:rsid w:val="00E05733"/>
    <w:rsid w:val="00E05B8A"/>
    <w:rsid w:val="00E16C0B"/>
    <w:rsid w:val="00E1791C"/>
    <w:rsid w:val="00E2686E"/>
    <w:rsid w:val="00E2726B"/>
    <w:rsid w:val="00E3049A"/>
    <w:rsid w:val="00E330A6"/>
    <w:rsid w:val="00E341FF"/>
    <w:rsid w:val="00E403D4"/>
    <w:rsid w:val="00E4135E"/>
    <w:rsid w:val="00E441D1"/>
    <w:rsid w:val="00E470E3"/>
    <w:rsid w:val="00E51DC1"/>
    <w:rsid w:val="00E52141"/>
    <w:rsid w:val="00E53743"/>
    <w:rsid w:val="00E54F51"/>
    <w:rsid w:val="00E614B7"/>
    <w:rsid w:val="00E62C6B"/>
    <w:rsid w:val="00E639C7"/>
    <w:rsid w:val="00E65AFD"/>
    <w:rsid w:val="00E66DF5"/>
    <w:rsid w:val="00E706C5"/>
    <w:rsid w:val="00E70F16"/>
    <w:rsid w:val="00E7262B"/>
    <w:rsid w:val="00E74005"/>
    <w:rsid w:val="00E74896"/>
    <w:rsid w:val="00E765AD"/>
    <w:rsid w:val="00E807B0"/>
    <w:rsid w:val="00E819AC"/>
    <w:rsid w:val="00E84E4F"/>
    <w:rsid w:val="00E87081"/>
    <w:rsid w:val="00E9052E"/>
    <w:rsid w:val="00E949E4"/>
    <w:rsid w:val="00E9517E"/>
    <w:rsid w:val="00E95BB9"/>
    <w:rsid w:val="00EA10E9"/>
    <w:rsid w:val="00EA270A"/>
    <w:rsid w:val="00EA5DD1"/>
    <w:rsid w:val="00EA7541"/>
    <w:rsid w:val="00EA75AA"/>
    <w:rsid w:val="00EB033A"/>
    <w:rsid w:val="00EB36FE"/>
    <w:rsid w:val="00EB405A"/>
    <w:rsid w:val="00EB4765"/>
    <w:rsid w:val="00EB656C"/>
    <w:rsid w:val="00EC0794"/>
    <w:rsid w:val="00EC41AF"/>
    <w:rsid w:val="00EC4E8C"/>
    <w:rsid w:val="00EC715F"/>
    <w:rsid w:val="00ED15A7"/>
    <w:rsid w:val="00ED36EF"/>
    <w:rsid w:val="00ED55FE"/>
    <w:rsid w:val="00ED5805"/>
    <w:rsid w:val="00ED6416"/>
    <w:rsid w:val="00EE17C0"/>
    <w:rsid w:val="00EE3134"/>
    <w:rsid w:val="00EF0FAA"/>
    <w:rsid w:val="00EF221D"/>
    <w:rsid w:val="00EF2CFE"/>
    <w:rsid w:val="00EF5C88"/>
    <w:rsid w:val="00F010E2"/>
    <w:rsid w:val="00F03A4B"/>
    <w:rsid w:val="00F03E5A"/>
    <w:rsid w:val="00F103A1"/>
    <w:rsid w:val="00F144E8"/>
    <w:rsid w:val="00F1609D"/>
    <w:rsid w:val="00F2407B"/>
    <w:rsid w:val="00F2430C"/>
    <w:rsid w:val="00F264CA"/>
    <w:rsid w:val="00F30790"/>
    <w:rsid w:val="00F31AF0"/>
    <w:rsid w:val="00F32DC0"/>
    <w:rsid w:val="00F35138"/>
    <w:rsid w:val="00F36C8F"/>
    <w:rsid w:val="00F36F84"/>
    <w:rsid w:val="00F4593C"/>
    <w:rsid w:val="00F52D78"/>
    <w:rsid w:val="00F53354"/>
    <w:rsid w:val="00F54439"/>
    <w:rsid w:val="00F56B5D"/>
    <w:rsid w:val="00F57800"/>
    <w:rsid w:val="00F636F3"/>
    <w:rsid w:val="00F66DDA"/>
    <w:rsid w:val="00F7232D"/>
    <w:rsid w:val="00F75ADC"/>
    <w:rsid w:val="00F7702F"/>
    <w:rsid w:val="00F8409C"/>
    <w:rsid w:val="00F84639"/>
    <w:rsid w:val="00F8555D"/>
    <w:rsid w:val="00F86CD6"/>
    <w:rsid w:val="00F90995"/>
    <w:rsid w:val="00F91B5C"/>
    <w:rsid w:val="00F92984"/>
    <w:rsid w:val="00F93D7C"/>
    <w:rsid w:val="00FA21B6"/>
    <w:rsid w:val="00FA6EA1"/>
    <w:rsid w:val="00FB05E1"/>
    <w:rsid w:val="00FB104E"/>
    <w:rsid w:val="00FB11A8"/>
    <w:rsid w:val="00FB168A"/>
    <w:rsid w:val="00FB51EB"/>
    <w:rsid w:val="00FC2D12"/>
    <w:rsid w:val="00FD05BE"/>
    <w:rsid w:val="00FD2B96"/>
    <w:rsid w:val="00FD428D"/>
    <w:rsid w:val="00FD6EC7"/>
    <w:rsid w:val="00FE1839"/>
    <w:rsid w:val="00FE2B04"/>
    <w:rsid w:val="00FE2B51"/>
    <w:rsid w:val="00FE525C"/>
    <w:rsid w:val="00FE5A6E"/>
    <w:rsid w:val="00FF00DA"/>
    <w:rsid w:val="00FF62D7"/>
    <w:rsid w:val="00F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584"/>
    <w:pPr>
      <w:spacing w:after="0" w:line="240" w:lineRule="auto"/>
      <w:ind w:firstLine="709"/>
      <w:jc w:val="both"/>
    </w:pPr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584"/>
    <w:pPr>
      <w:spacing w:after="0" w:line="240" w:lineRule="auto"/>
      <w:ind w:firstLine="709"/>
      <w:jc w:val="both"/>
    </w:pPr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7</cp:revision>
  <cp:lastPrinted>2018-10-05T10:08:00Z</cp:lastPrinted>
  <dcterms:created xsi:type="dcterms:W3CDTF">2018-10-05T12:46:00Z</dcterms:created>
  <dcterms:modified xsi:type="dcterms:W3CDTF">2018-10-05T13:21:00Z</dcterms:modified>
</cp:coreProperties>
</file>